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BB" w:rsidRPr="00794BBB" w:rsidRDefault="00794BBB" w:rsidP="00794BBB">
      <w:pPr>
        <w:widowControl/>
        <w:spacing w:before="100" w:beforeAutospacing="1" w:after="100" w:afterAutospacing="1" w:line="345" w:lineRule="atLeast"/>
        <w:ind w:firstLine="480"/>
        <w:jc w:val="center"/>
        <w:rPr>
          <w:rFonts w:ascii="宋体" w:eastAsia="宋体" w:hAnsi="宋体" w:cs="宋体"/>
          <w:color w:val="2B2B2B"/>
          <w:kern w:val="0"/>
          <w:szCs w:val="21"/>
        </w:rPr>
      </w:pPr>
      <w:r w:rsidRPr="00794BBB">
        <w:rPr>
          <w:rFonts w:ascii="宋体" w:eastAsia="宋体" w:hAnsi="宋体" w:cs="宋体" w:hint="eastAsia"/>
          <w:b/>
          <w:bCs/>
          <w:color w:val="2B2B2B"/>
          <w:kern w:val="0"/>
          <w:sz w:val="36"/>
          <w:szCs w:val="36"/>
        </w:rPr>
        <w:t>关于加快推进公务卡制度改革的通知</w:t>
      </w:r>
      <w:r w:rsidRPr="00794BBB">
        <w:rPr>
          <w:rFonts w:ascii="宋体" w:eastAsia="宋体" w:hAnsi="宋体" w:cs="宋体" w:hint="eastAsia"/>
          <w:color w:val="2B2B2B"/>
          <w:kern w:val="0"/>
          <w:szCs w:val="21"/>
        </w:rPr>
        <w:br/>
      </w:r>
      <w:r w:rsidRPr="00794BBB">
        <w:rPr>
          <w:rFonts w:ascii="楷体_GB2312" w:eastAsia="楷体_GB2312" w:hAnsi="宋体" w:cs="宋体" w:hint="eastAsia"/>
          <w:color w:val="2B2B2B"/>
          <w:kern w:val="0"/>
          <w:szCs w:val="21"/>
        </w:rPr>
        <w:t>财库〔2012〕132号</w:t>
      </w:r>
    </w:p>
    <w:p w:rsidR="00794BBB" w:rsidRPr="00794BBB" w:rsidRDefault="00794BBB" w:rsidP="00794BBB">
      <w:pPr>
        <w:widowControl/>
        <w:spacing w:before="100" w:beforeAutospacing="1" w:after="100" w:afterAutospacing="1" w:line="345" w:lineRule="atLeast"/>
        <w:ind w:firstLine="480"/>
        <w:rPr>
          <w:rFonts w:ascii="宋体" w:eastAsia="宋体" w:hAnsi="宋体" w:cs="宋体" w:hint="eastAsia"/>
          <w:color w:val="2B2B2B"/>
          <w:kern w:val="0"/>
          <w:szCs w:val="21"/>
        </w:rPr>
      </w:pPr>
      <w:r w:rsidRPr="00794BBB">
        <w:rPr>
          <w:rFonts w:ascii="宋体" w:eastAsia="宋体" w:hAnsi="宋体" w:cs="宋体" w:hint="eastAsia"/>
          <w:color w:val="2B2B2B"/>
          <w:kern w:val="0"/>
          <w:szCs w:val="21"/>
        </w:rPr>
        <w:t>党中央有关部门，国务院各部委、各直属机构，武警部队，全国人大常委会办公厅，全国政协办公厅，高法院，高检院，有关人民团体，新疆生产建设兵团财务局，各省、自治区、直辖市、计划单列市财政厅（局），中国人民银行上海总部、各分行、营业管理部、省会（首府）城市中心支行，各副省级城市中心支行，中国银联，各中央预算单位公务卡代理银行：</w:t>
      </w:r>
      <w:r w:rsidRPr="00794BBB">
        <w:rPr>
          <w:rFonts w:ascii="宋体" w:eastAsia="宋体" w:hAnsi="宋体" w:cs="宋体" w:hint="eastAsia"/>
          <w:color w:val="2B2B2B"/>
          <w:kern w:val="0"/>
          <w:szCs w:val="21"/>
        </w:rPr>
        <w:br/>
        <w:t xml:space="preserve">　　公务卡制度改革自2007年推行以来，改革覆盖面不断扩大，在减少预算单位现金使用、规范公务支出方面取得明显成效。但目前仍有一些中央和地方预算单位尚未全面实施改革，影响整体改革进程。为贯彻落实国务院第五次廉政工作会议关于2012年底前全面推行公务卡制度的要求，现就加快推进公务卡制度改革有关事宜通知如下：</w:t>
      </w:r>
      <w:r w:rsidRPr="00794BBB">
        <w:rPr>
          <w:rFonts w:ascii="宋体" w:eastAsia="宋体" w:hAnsi="宋体" w:cs="宋体" w:hint="eastAsia"/>
          <w:color w:val="2B2B2B"/>
          <w:kern w:val="0"/>
          <w:szCs w:val="21"/>
        </w:rPr>
        <w:br/>
        <w:t xml:space="preserve">　　</w:t>
      </w:r>
      <w:r w:rsidRPr="00794BBB">
        <w:rPr>
          <w:rFonts w:ascii="宋体" w:eastAsia="宋体" w:hAnsi="宋体" w:cs="宋体" w:hint="eastAsia"/>
          <w:b/>
          <w:bCs/>
          <w:color w:val="2B2B2B"/>
          <w:kern w:val="0"/>
          <w:szCs w:val="21"/>
        </w:rPr>
        <w:t>一、全面实施公务卡制度改革</w:t>
      </w:r>
      <w:r w:rsidRPr="00794BBB">
        <w:rPr>
          <w:rFonts w:ascii="宋体" w:eastAsia="宋体" w:hAnsi="宋体" w:cs="宋体" w:hint="eastAsia"/>
          <w:color w:val="2B2B2B"/>
          <w:kern w:val="0"/>
          <w:szCs w:val="21"/>
        </w:rPr>
        <w:br/>
        <w:t xml:space="preserve">　　（一）中央各部门要加快将公务卡制度覆盖到所有基层预算单位。尚未实施公务卡制度改革的中央一级预算单位，要迅速启动改革，不迟于2012年9月底为本单位工作人员统一办理公务卡；尚未实施改革的二级以下中央预算单位，要确保2012年年底前为本单位工作人员统一办理公务卡。</w:t>
      </w:r>
      <w:r w:rsidRPr="00794BBB">
        <w:rPr>
          <w:rFonts w:ascii="宋体" w:eastAsia="宋体" w:hAnsi="宋体" w:cs="宋体" w:hint="eastAsia"/>
          <w:color w:val="2B2B2B"/>
          <w:kern w:val="0"/>
          <w:szCs w:val="21"/>
        </w:rPr>
        <w:br/>
        <w:t xml:space="preserve">　　（二）地方财政部门要加快将公务卡制度覆盖到县乡。在进一步扩大省、市两</w:t>
      </w:r>
      <w:proofErr w:type="gramStart"/>
      <w:r w:rsidRPr="00794BBB">
        <w:rPr>
          <w:rFonts w:ascii="宋体" w:eastAsia="宋体" w:hAnsi="宋体" w:cs="宋体" w:hint="eastAsia"/>
          <w:color w:val="2B2B2B"/>
          <w:kern w:val="0"/>
          <w:szCs w:val="21"/>
        </w:rPr>
        <w:t>级改革</w:t>
      </w:r>
      <w:proofErr w:type="gramEnd"/>
      <w:r w:rsidRPr="00794BBB">
        <w:rPr>
          <w:rFonts w:ascii="宋体" w:eastAsia="宋体" w:hAnsi="宋体" w:cs="宋体" w:hint="eastAsia"/>
          <w:color w:val="2B2B2B"/>
          <w:kern w:val="0"/>
          <w:szCs w:val="21"/>
        </w:rPr>
        <w:t>覆盖面的同时，加大县乡预算单位改革的推进力度，确保2012年年底前将改革覆盖到所属各级基层预算单位。</w:t>
      </w:r>
      <w:r w:rsidRPr="00794BBB">
        <w:rPr>
          <w:rFonts w:ascii="宋体" w:eastAsia="宋体" w:hAnsi="宋体" w:cs="宋体" w:hint="eastAsia"/>
          <w:color w:val="2B2B2B"/>
          <w:kern w:val="0"/>
          <w:szCs w:val="21"/>
        </w:rPr>
        <w:br/>
        <w:t xml:space="preserve">　　（三）用卡环境尚不成熟的县乡，预算单位应根据实际情况为有用卡需要的公职人员办理公务卡。</w:t>
      </w:r>
      <w:r w:rsidRPr="00794BBB">
        <w:rPr>
          <w:rFonts w:ascii="宋体" w:eastAsia="宋体" w:hAnsi="宋体" w:cs="宋体" w:hint="eastAsia"/>
          <w:color w:val="2B2B2B"/>
          <w:kern w:val="0"/>
          <w:szCs w:val="21"/>
        </w:rPr>
        <w:br/>
        <w:t xml:space="preserve">　　</w:t>
      </w:r>
      <w:r w:rsidRPr="00794BBB">
        <w:rPr>
          <w:rFonts w:ascii="宋体" w:eastAsia="宋体" w:hAnsi="宋体" w:cs="宋体" w:hint="eastAsia"/>
          <w:b/>
          <w:bCs/>
          <w:color w:val="2B2B2B"/>
          <w:kern w:val="0"/>
          <w:szCs w:val="21"/>
        </w:rPr>
        <w:t>二、加强公务</w:t>
      </w:r>
      <w:proofErr w:type="gramStart"/>
      <w:r w:rsidRPr="00794BBB">
        <w:rPr>
          <w:rFonts w:ascii="宋体" w:eastAsia="宋体" w:hAnsi="宋体" w:cs="宋体" w:hint="eastAsia"/>
          <w:b/>
          <w:bCs/>
          <w:color w:val="2B2B2B"/>
          <w:kern w:val="0"/>
          <w:szCs w:val="21"/>
        </w:rPr>
        <w:t>卡相关</w:t>
      </w:r>
      <w:proofErr w:type="gramEnd"/>
      <w:r w:rsidRPr="00794BBB">
        <w:rPr>
          <w:rFonts w:ascii="宋体" w:eastAsia="宋体" w:hAnsi="宋体" w:cs="宋体" w:hint="eastAsia"/>
          <w:b/>
          <w:bCs/>
          <w:color w:val="2B2B2B"/>
          <w:kern w:val="0"/>
          <w:szCs w:val="21"/>
        </w:rPr>
        <w:t>制度建设</w:t>
      </w:r>
      <w:r w:rsidRPr="00794BBB">
        <w:rPr>
          <w:rFonts w:ascii="宋体" w:eastAsia="宋体" w:hAnsi="宋体" w:cs="宋体" w:hint="eastAsia"/>
          <w:color w:val="2B2B2B"/>
          <w:kern w:val="0"/>
          <w:szCs w:val="21"/>
        </w:rPr>
        <w:br/>
        <w:t xml:space="preserve">　　（四）完善公务卡管理办法。地方各级财政部门要会同当地人民银行分支机构，参照《中央预算单位公务卡管理暂行办法》（财库〔2007〕63号），健全完善本地区公务卡管理制度，严格规范办卡程序和报销业务流程，明确管理职责，加强日常监督。</w:t>
      </w:r>
      <w:r w:rsidRPr="00794BBB">
        <w:rPr>
          <w:rFonts w:ascii="宋体" w:eastAsia="宋体" w:hAnsi="宋体" w:cs="宋体" w:hint="eastAsia"/>
          <w:color w:val="2B2B2B"/>
          <w:kern w:val="0"/>
          <w:szCs w:val="21"/>
        </w:rPr>
        <w:br/>
        <w:t xml:space="preserve">　　（五）全面推行公务卡强制结算目录制度。中央预算单位要严格执行《中央预算单位公务卡强制结算目录》，按规定使用公务卡结算的，原则上不再使用现金。地方省、市两级财政部门要结合本地实际，于2012年年底前建立公务卡强制结算目录制度，将预算单位差旅费、招待费和会议费等公务支出纳入强制结算目录范围。有条件的县级财政部门也要建立公务卡强制结算目录制度。</w:t>
      </w:r>
      <w:r w:rsidRPr="00794BBB">
        <w:rPr>
          <w:rFonts w:ascii="宋体" w:eastAsia="宋体" w:hAnsi="宋体" w:cs="宋体" w:hint="eastAsia"/>
          <w:color w:val="2B2B2B"/>
          <w:kern w:val="0"/>
          <w:szCs w:val="21"/>
        </w:rPr>
        <w:br/>
        <w:t xml:space="preserve">　　</w:t>
      </w:r>
      <w:r w:rsidRPr="00794BBB">
        <w:rPr>
          <w:rFonts w:ascii="宋体" w:eastAsia="宋体" w:hAnsi="宋体" w:cs="宋体" w:hint="eastAsia"/>
          <w:b/>
          <w:bCs/>
          <w:color w:val="2B2B2B"/>
          <w:kern w:val="0"/>
          <w:szCs w:val="21"/>
        </w:rPr>
        <w:t>三、规范公务卡使用管理</w:t>
      </w:r>
      <w:r w:rsidRPr="00794BBB">
        <w:rPr>
          <w:rFonts w:ascii="宋体" w:eastAsia="宋体" w:hAnsi="宋体" w:cs="宋体" w:hint="eastAsia"/>
          <w:color w:val="2B2B2B"/>
          <w:kern w:val="0"/>
          <w:szCs w:val="21"/>
        </w:rPr>
        <w:br/>
        <w:t xml:space="preserve">　　（六）统一公务卡用卡标准。公务卡一律采用专用发卡行标识代码（Bank Identification Number, BIN）为“628”开头的银</w:t>
      </w:r>
      <w:proofErr w:type="gramStart"/>
      <w:r w:rsidRPr="00794BBB">
        <w:rPr>
          <w:rFonts w:ascii="宋体" w:eastAsia="宋体" w:hAnsi="宋体" w:cs="宋体" w:hint="eastAsia"/>
          <w:color w:val="2B2B2B"/>
          <w:kern w:val="0"/>
          <w:szCs w:val="21"/>
        </w:rPr>
        <w:t>联标准</w:t>
      </w:r>
      <w:proofErr w:type="gramEnd"/>
      <w:r w:rsidRPr="00794BBB">
        <w:rPr>
          <w:rFonts w:ascii="宋体" w:eastAsia="宋体" w:hAnsi="宋体" w:cs="宋体" w:hint="eastAsia"/>
          <w:color w:val="2B2B2B"/>
          <w:kern w:val="0"/>
          <w:szCs w:val="21"/>
        </w:rPr>
        <w:t>卡。对于之前已经核发、未采用专用BIN的公务卡，公务卡代理银行应当进行清理和登记，并在有效期满后及时做好银</w:t>
      </w:r>
      <w:proofErr w:type="gramStart"/>
      <w:r w:rsidRPr="00794BBB">
        <w:rPr>
          <w:rFonts w:ascii="宋体" w:eastAsia="宋体" w:hAnsi="宋体" w:cs="宋体" w:hint="eastAsia"/>
          <w:color w:val="2B2B2B"/>
          <w:kern w:val="0"/>
          <w:szCs w:val="21"/>
        </w:rPr>
        <w:t>联标准</w:t>
      </w:r>
      <w:proofErr w:type="gramEnd"/>
      <w:r w:rsidRPr="00794BBB">
        <w:rPr>
          <w:rFonts w:ascii="宋体" w:eastAsia="宋体" w:hAnsi="宋体" w:cs="宋体" w:hint="eastAsia"/>
          <w:color w:val="2B2B2B"/>
          <w:kern w:val="0"/>
          <w:szCs w:val="21"/>
        </w:rPr>
        <w:t>公务卡的换卡工作。</w:t>
      </w:r>
      <w:r w:rsidRPr="00794BBB">
        <w:rPr>
          <w:rFonts w:ascii="宋体" w:eastAsia="宋体" w:hAnsi="宋体" w:cs="宋体" w:hint="eastAsia"/>
          <w:color w:val="2B2B2B"/>
          <w:kern w:val="0"/>
          <w:szCs w:val="21"/>
        </w:rPr>
        <w:br/>
        <w:t xml:space="preserve">　　（七）规范公务卡发卡程序。预算单位要与公务卡代理银行签订委托代理协议，明确双方的权利和义务，并报财政部门备案。公务卡原则上一人一卡，由预算单位统一组织本单位工作人员向代理银行申办，严禁为</w:t>
      </w:r>
      <w:proofErr w:type="gramStart"/>
      <w:r w:rsidRPr="00794BBB">
        <w:rPr>
          <w:rFonts w:ascii="宋体" w:eastAsia="宋体" w:hAnsi="宋体" w:cs="宋体" w:hint="eastAsia"/>
          <w:color w:val="2B2B2B"/>
          <w:kern w:val="0"/>
          <w:szCs w:val="21"/>
        </w:rPr>
        <w:t>非预算</w:t>
      </w:r>
      <w:proofErr w:type="gramEnd"/>
      <w:r w:rsidRPr="00794BBB">
        <w:rPr>
          <w:rFonts w:ascii="宋体" w:eastAsia="宋体" w:hAnsi="宋体" w:cs="宋体" w:hint="eastAsia"/>
          <w:color w:val="2B2B2B"/>
          <w:kern w:val="0"/>
          <w:szCs w:val="21"/>
        </w:rPr>
        <w:t>单位人员办理公务卡。</w:t>
      </w:r>
      <w:r w:rsidRPr="00794BBB">
        <w:rPr>
          <w:rFonts w:ascii="宋体" w:eastAsia="宋体" w:hAnsi="宋体" w:cs="宋体" w:hint="eastAsia"/>
          <w:color w:val="2B2B2B"/>
          <w:kern w:val="0"/>
          <w:szCs w:val="21"/>
        </w:rPr>
        <w:br/>
        <w:t xml:space="preserve">　　（八）加强公务卡支持系统建设和信息安全管理。预算单位、公务卡代理银行和中国银</w:t>
      </w:r>
      <w:r w:rsidRPr="00794BBB">
        <w:rPr>
          <w:rFonts w:ascii="宋体" w:eastAsia="宋体" w:hAnsi="宋体" w:cs="宋体" w:hint="eastAsia"/>
          <w:color w:val="2B2B2B"/>
          <w:kern w:val="0"/>
          <w:szCs w:val="21"/>
        </w:rPr>
        <w:lastRenderedPageBreak/>
        <w:t>联要优化和完善公务卡支持系统，提高公务卡支持系统运行速度和稳定性；要在制度和技术上采取必要措施保障公务卡信息安全，严禁对外提供或泄漏与公务卡持卡人和公务支出有关的各种数据资料。</w:t>
      </w:r>
      <w:r w:rsidRPr="00794BBB">
        <w:rPr>
          <w:rFonts w:ascii="宋体" w:eastAsia="宋体" w:hAnsi="宋体" w:cs="宋体" w:hint="eastAsia"/>
          <w:color w:val="2B2B2B"/>
          <w:kern w:val="0"/>
          <w:szCs w:val="21"/>
        </w:rPr>
        <w:br/>
        <w:t xml:space="preserve">　　</w:t>
      </w:r>
      <w:r w:rsidRPr="00794BBB">
        <w:rPr>
          <w:rFonts w:ascii="宋体" w:eastAsia="宋体" w:hAnsi="宋体" w:cs="宋体" w:hint="eastAsia"/>
          <w:b/>
          <w:bCs/>
          <w:color w:val="2B2B2B"/>
          <w:kern w:val="0"/>
          <w:szCs w:val="21"/>
        </w:rPr>
        <w:t>四、改善公务卡制度推广环境</w:t>
      </w:r>
      <w:r w:rsidRPr="00794BBB">
        <w:rPr>
          <w:rFonts w:ascii="宋体" w:eastAsia="宋体" w:hAnsi="宋体" w:cs="宋体" w:hint="eastAsia"/>
          <w:b/>
          <w:bCs/>
          <w:color w:val="2B2B2B"/>
          <w:kern w:val="0"/>
          <w:szCs w:val="21"/>
        </w:rPr>
        <w:br/>
      </w:r>
      <w:r w:rsidRPr="00794BBB">
        <w:rPr>
          <w:rFonts w:ascii="宋体" w:eastAsia="宋体" w:hAnsi="宋体" w:cs="宋体" w:hint="eastAsia"/>
          <w:color w:val="2B2B2B"/>
          <w:kern w:val="0"/>
          <w:szCs w:val="21"/>
        </w:rPr>
        <w:t xml:space="preserve">　　（九）加强宣传培训。各地区、各部门要做好宣传培训工作，使公务人员充分了解公务卡的具体使用方法和安全用卡知识，单位财务人员熟练掌握公务卡管理规定和报销还款具体操作，提高办卡、用卡积极性，为推广使用公务卡营造良好的舆论环境。</w:t>
      </w:r>
      <w:r w:rsidRPr="00794BBB">
        <w:rPr>
          <w:rFonts w:ascii="宋体" w:eastAsia="宋体" w:hAnsi="宋体" w:cs="宋体" w:hint="eastAsia"/>
          <w:color w:val="2B2B2B"/>
          <w:kern w:val="0"/>
          <w:szCs w:val="21"/>
        </w:rPr>
        <w:br/>
        <w:t xml:space="preserve">　　（十）提高公务卡代理银行服务质量。公务卡代理银行要为预算单位和持卡人提供优质、便捷服务，简化办卡手续，缩短办卡流程，及时反馈资金还款等信息；加强公务</w:t>
      </w:r>
      <w:proofErr w:type="gramStart"/>
      <w:r w:rsidRPr="00794BBB">
        <w:rPr>
          <w:rFonts w:ascii="宋体" w:eastAsia="宋体" w:hAnsi="宋体" w:cs="宋体" w:hint="eastAsia"/>
          <w:color w:val="2B2B2B"/>
          <w:kern w:val="0"/>
          <w:szCs w:val="21"/>
        </w:rPr>
        <w:t>卡数据</w:t>
      </w:r>
      <w:proofErr w:type="gramEnd"/>
      <w:r w:rsidRPr="00794BBB">
        <w:rPr>
          <w:rFonts w:ascii="宋体" w:eastAsia="宋体" w:hAnsi="宋体" w:cs="宋体" w:hint="eastAsia"/>
          <w:color w:val="2B2B2B"/>
          <w:kern w:val="0"/>
          <w:szCs w:val="21"/>
        </w:rPr>
        <w:t>统计，密切关注公务卡使用情况，定期向财政部门和预算单位反馈。</w:t>
      </w:r>
      <w:r w:rsidRPr="00794BBB">
        <w:rPr>
          <w:rFonts w:ascii="宋体" w:eastAsia="宋体" w:hAnsi="宋体" w:cs="宋体" w:hint="eastAsia"/>
          <w:color w:val="2B2B2B"/>
          <w:kern w:val="0"/>
          <w:szCs w:val="21"/>
        </w:rPr>
        <w:br/>
        <w:t xml:space="preserve">　　（十一）进一步改善公务卡受理市场建设。各级财政部门要牵头协调与公务支出密切相关的单位和企业积极受理公务卡。财政部门、预算单位在确定党政机关出差会议定点饭店及公务车辆定点加油、维修供应商时，原则上要将受理公务卡作为前提条件。公务卡代理银行、中国银联要扩大销售点终端（Point of Sale, POS）机具布设范围，加大布设密度，增加机具数量，特别是加大中西部地区的布设力度。</w:t>
      </w:r>
      <w:r w:rsidRPr="00794BBB">
        <w:rPr>
          <w:rFonts w:ascii="宋体" w:eastAsia="宋体" w:hAnsi="宋体" w:cs="宋体" w:hint="eastAsia"/>
          <w:color w:val="2B2B2B"/>
          <w:kern w:val="0"/>
          <w:szCs w:val="21"/>
        </w:rPr>
        <w:br/>
        <w:t xml:space="preserve">　　</w:t>
      </w:r>
      <w:r w:rsidRPr="00794BBB">
        <w:rPr>
          <w:rFonts w:ascii="宋体" w:eastAsia="宋体" w:hAnsi="宋体" w:cs="宋体" w:hint="eastAsia"/>
          <w:b/>
          <w:bCs/>
          <w:color w:val="2B2B2B"/>
          <w:kern w:val="0"/>
          <w:szCs w:val="21"/>
        </w:rPr>
        <w:t>五、及时准确报送公务卡制度改革进展情况</w:t>
      </w:r>
      <w:r w:rsidRPr="00794BBB">
        <w:rPr>
          <w:rFonts w:ascii="宋体" w:eastAsia="宋体" w:hAnsi="宋体" w:cs="宋体" w:hint="eastAsia"/>
          <w:color w:val="2B2B2B"/>
          <w:kern w:val="0"/>
          <w:szCs w:val="21"/>
        </w:rPr>
        <w:br/>
        <w:t xml:space="preserve">　　（十二）各中央部门和中央预算单位公务卡代理银行要于2012年10月底前和2013年1月底前分别向财政部报送截至2012年9月末和截至2012年年</w:t>
      </w:r>
      <w:proofErr w:type="gramStart"/>
      <w:r w:rsidRPr="00794BBB">
        <w:rPr>
          <w:rFonts w:ascii="宋体" w:eastAsia="宋体" w:hAnsi="宋体" w:cs="宋体" w:hint="eastAsia"/>
          <w:color w:val="2B2B2B"/>
          <w:kern w:val="0"/>
          <w:szCs w:val="21"/>
        </w:rPr>
        <w:t>末改革</w:t>
      </w:r>
      <w:proofErr w:type="gramEnd"/>
      <w:r w:rsidRPr="00794BBB">
        <w:rPr>
          <w:rFonts w:ascii="宋体" w:eastAsia="宋体" w:hAnsi="宋体" w:cs="宋体" w:hint="eastAsia"/>
          <w:color w:val="2B2B2B"/>
          <w:kern w:val="0"/>
          <w:szCs w:val="21"/>
        </w:rPr>
        <w:t>进展情况表和业务数据统计表（见附件）。</w:t>
      </w:r>
      <w:r w:rsidRPr="00794BBB">
        <w:rPr>
          <w:rFonts w:ascii="宋体" w:eastAsia="宋体" w:hAnsi="宋体" w:cs="宋体" w:hint="eastAsia"/>
          <w:color w:val="2B2B2B"/>
          <w:kern w:val="0"/>
          <w:szCs w:val="21"/>
        </w:rPr>
        <w:br/>
        <w:t xml:space="preserve">　　（十三）省级财政部门要按照《财政部关于进一步推进地方国库集中收付制度改革的通知》（财库〔2011〕167号）规定，按时报送公务卡制度改革情况。</w:t>
      </w:r>
      <w:r w:rsidRPr="00794BBB">
        <w:rPr>
          <w:rFonts w:ascii="宋体" w:eastAsia="宋体" w:hAnsi="宋体" w:cs="宋体" w:hint="eastAsia"/>
          <w:color w:val="2B2B2B"/>
          <w:kern w:val="0"/>
          <w:szCs w:val="21"/>
        </w:rPr>
        <w:br/>
        <w:t xml:space="preserve">　　（十四）地方各级财政部门要规范公务</w:t>
      </w:r>
      <w:proofErr w:type="gramStart"/>
      <w:r w:rsidRPr="00794BBB">
        <w:rPr>
          <w:rFonts w:ascii="宋体" w:eastAsia="宋体" w:hAnsi="宋体" w:cs="宋体" w:hint="eastAsia"/>
          <w:color w:val="2B2B2B"/>
          <w:kern w:val="0"/>
          <w:szCs w:val="21"/>
        </w:rPr>
        <w:t>卡数据</w:t>
      </w:r>
      <w:proofErr w:type="gramEnd"/>
      <w:r w:rsidRPr="00794BBB">
        <w:rPr>
          <w:rFonts w:ascii="宋体" w:eastAsia="宋体" w:hAnsi="宋体" w:cs="宋体" w:hint="eastAsia"/>
          <w:color w:val="2B2B2B"/>
          <w:kern w:val="0"/>
          <w:szCs w:val="21"/>
        </w:rPr>
        <w:t>统计，对本级预算单位报送的数据，应当与代理银行数据核对一致，并向上级财政部门报送，确保数据真实准确。</w:t>
      </w:r>
      <w:r w:rsidRPr="00794BBB">
        <w:rPr>
          <w:rFonts w:ascii="宋体" w:eastAsia="宋体" w:hAnsi="宋体" w:cs="宋体" w:hint="eastAsia"/>
          <w:color w:val="2B2B2B"/>
          <w:kern w:val="0"/>
          <w:szCs w:val="21"/>
        </w:rPr>
        <w:br/>
        <w:t xml:space="preserve">　　附件：1.中央预算单位公务卡制度改革进展情况表</w:t>
      </w:r>
      <w:r w:rsidRPr="00794BBB">
        <w:rPr>
          <w:rFonts w:ascii="宋体" w:eastAsia="宋体" w:hAnsi="宋体" w:cs="宋体" w:hint="eastAsia"/>
          <w:color w:val="2B2B2B"/>
          <w:kern w:val="0"/>
          <w:szCs w:val="21"/>
        </w:rPr>
        <w:br/>
      </w:r>
      <w:proofErr w:type="gramStart"/>
      <w:r w:rsidRPr="00794BBB">
        <w:rPr>
          <w:rFonts w:ascii="宋体" w:eastAsia="宋体" w:hAnsi="宋体" w:cs="宋体" w:hint="eastAsia"/>
          <w:color w:val="2B2B2B"/>
          <w:kern w:val="0"/>
          <w:szCs w:val="21"/>
        </w:rPr>
        <w:t xml:space="preserve">　　　　　</w:t>
      </w:r>
      <w:proofErr w:type="gramEnd"/>
      <w:r w:rsidRPr="00794BBB">
        <w:rPr>
          <w:rFonts w:ascii="宋体" w:eastAsia="宋体" w:hAnsi="宋体" w:cs="宋体" w:hint="eastAsia"/>
          <w:color w:val="2B2B2B"/>
          <w:kern w:val="0"/>
          <w:szCs w:val="21"/>
        </w:rPr>
        <w:t>2.中央预算单位公务卡代理银行业务数据统计表</w:t>
      </w:r>
      <w:r w:rsidRPr="00794BBB">
        <w:rPr>
          <w:rFonts w:ascii="宋体" w:eastAsia="宋体" w:hAnsi="宋体" w:cs="宋体" w:hint="eastAsia"/>
          <w:color w:val="2B2B2B"/>
          <w:kern w:val="0"/>
          <w:szCs w:val="21"/>
        </w:rPr>
        <w:br/>
      </w:r>
      <w:proofErr w:type="gramStart"/>
      <w:r w:rsidRPr="00794BBB">
        <w:rPr>
          <w:rFonts w:ascii="宋体" w:eastAsia="宋体" w:hAnsi="宋体" w:cs="宋体" w:hint="eastAsia"/>
          <w:color w:val="2B2B2B"/>
          <w:kern w:val="0"/>
          <w:szCs w:val="21"/>
        </w:rPr>
        <w:t xml:space="preserve">　　　　　　　　　　　　　　　　　　　　　　　　　　</w:t>
      </w:r>
      <w:proofErr w:type="gramEnd"/>
      <w:r w:rsidRPr="00794BBB">
        <w:rPr>
          <w:rFonts w:ascii="宋体" w:eastAsia="宋体" w:hAnsi="宋体" w:cs="宋体" w:hint="eastAsia"/>
          <w:color w:val="2B2B2B"/>
          <w:kern w:val="0"/>
          <w:szCs w:val="21"/>
        </w:rPr>
        <w:t>财政部　中国人民银行</w:t>
      </w:r>
      <w:r w:rsidRPr="00794BBB">
        <w:rPr>
          <w:rFonts w:ascii="宋体" w:eastAsia="宋体" w:hAnsi="宋体" w:cs="宋体" w:hint="eastAsia"/>
          <w:color w:val="2B2B2B"/>
          <w:kern w:val="0"/>
          <w:szCs w:val="21"/>
        </w:rPr>
        <w:br/>
      </w:r>
      <w:proofErr w:type="gramStart"/>
      <w:r w:rsidRPr="00794BBB">
        <w:rPr>
          <w:rFonts w:ascii="宋体" w:eastAsia="宋体" w:hAnsi="宋体" w:cs="宋体" w:hint="eastAsia"/>
          <w:color w:val="2B2B2B"/>
          <w:kern w:val="0"/>
          <w:szCs w:val="21"/>
        </w:rPr>
        <w:t xml:space="preserve">　　　　　　　　　　　　　　　　　　　　　　　　　</w:t>
      </w:r>
      <w:bookmarkStart w:id="0" w:name="_GoBack"/>
      <w:bookmarkEnd w:id="0"/>
      <w:r w:rsidRPr="00794BBB">
        <w:rPr>
          <w:rFonts w:ascii="宋体" w:eastAsia="宋体" w:hAnsi="宋体" w:cs="宋体" w:hint="eastAsia"/>
          <w:color w:val="2B2B2B"/>
          <w:kern w:val="0"/>
          <w:szCs w:val="21"/>
        </w:rPr>
        <w:t xml:space="preserve">　　　</w:t>
      </w:r>
      <w:proofErr w:type="gramEnd"/>
      <w:r w:rsidRPr="00794BBB">
        <w:rPr>
          <w:rFonts w:ascii="宋体" w:eastAsia="宋体" w:hAnsi="宋体" w:cs="宋体" w:hint="eastAsia"/>
          <w:color w:val="2B2B2B"/>
          <w:kern w:val="0"/>
          <w:szCs w:val="21"/>
        </w:rPr>
        <w:t>2012年9月5日</w:t>
      </w:r>
    </w:p>
    <w:p w:rsidR="005A4C7E" w:rsidRPr="00794BBB" w:rsidRDefault="005A4C7E"/>
    <w:sectPr w:rsidR="005A4C7E" w:rsidRPr="00794B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9B"/>
    <w:rsid w:val="005A4C7E"/>
    <w:rsid w:val="00794BBB"/>
    <w:rsid w:val="00970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4B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4B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636911">
      <w:bodyDiv w:val="1"/>
      <w:marLeft w:val="0"/>
      <w:marRight w:val="0"/>
      <w:marTop w:val="0"/>
      <w:marBottom w:val="0"/>
      <w:divBdr>
        <w:top w:val="none" w:sz="0" w:space="0" w:color="auto"/>
        <w:left w:val="none" w:sz="0" w:space="0" w:color="auto"/>
        <w:bottom w:val="none" w:sz="0" w:space="0" w:color="auto"/>
        <w:right w:val="none" w:sz="0" w:space="0" w:color="auto"/>
      </w:divBdr>
      <w:divsChild>
        <w:div w:id="912786062">
          <w:marLeft w:val="0"/>
          <w:marRight w:val="0"/>
          <w:marTop w:val="0"/>
          <w:marBottom w:val="0"/>
          <w:divBdr>
            <w:top w:val="none" w:sz="0" w:space="0" w:color="auto"/>
            <w:left w:val="none" w:sz="0" w:space="0" w:color="auto"/>
            <w:bottom w:val="none" w:sz="0" w:space="0" w:color="auto"/>
            <w:right w:val="none" w:sz="0" w:space="0" w:color="auto"/>
          </w:divBdr>
          <w:divsChild>
            <w:div w:id="2019772089">
              <w:marLeft w:val="0"/>
              <w:marRight w:val="0"/>
              <w:marTop w:val="0"/>
              <w:marBottom w:val="0"/>
              <w:divBdr>
                <w:top w:val="none" w:sz="0" w:space="0" w:color="auto"/>
                <w:left w:val="none" w:sz="0" w:space="0" w:color="auto"/>
                <w:bottom w:val="none" w:sz="0" w:space="0" w:color="auto"/>
                <w:right w:val="none" w:sz="0" w:space="0" w:color="auto"/>
              </w:divBdr>
              <w:divsChild>
                <w:div w:id="7310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业务管理部</dc:creator>
  <cp:keywords/>
  <dc:description/>
  <cp:lastModifiedBy>业务管理部</cp:lastModifiedBy>
  <cp:revision>2</cp:revision>
  <dcterms:created xsi:type="dcterms:W3CDTF">2016-05-17T03:02:00Z</dcterms:created>
  <dcterms:modified xsi:type="dcterms:W3CDTF">2016-05-17T03:02:00Z</dcterms:modified>
</cp:coreProperties>
</file>